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R4-2104435</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BWP switching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5.1.3.3.8</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second meeting to discuss performance part of NR-U, companies had some discussions on the scope of test cases, test configurations and the work plan. Companies had slightly different views on the test cases / configurations for BWP switching and some points for further study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FFS: Periodic SRS is configured in the SpCell to enable the UE to detect consistent UL LBT failure in the SpCell.</w:t>
            </w:r>
          </w:p>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FFS: The tests on BWP switching under consistent UL failure are defined for the following LBT configuration/setting in SpCell:</w:t>
            </w:r>
          </w:p>
          <w:p>
            <w:pPr>
              <w:pStyle w:val="28"/>
              <w:numPr>
                <w:ilvl w:val="0"/>
                <w:numId w:val="0"/>
              </w:numPr>
              <w:rPr>
                <w:rFonts w:hint="eastAsia" w:eastAsia="Yu Mincho"/>
                <w:bCs/>
                <w:color w:val="auto"/>
                <w:highlight w:val="none"/>
                <w:lang w:val="en-US" w:eastAsia="zh-CN"/>
              </w:rPr>
            </w:pPr>
            <w:r>
              <w:rPr>
                <w:rFonts w:hint="eastAsia" w:eastAsia="Yu Mincho"/>
                <w:bCs/>
                <w:color w:val="auto"/>
                <w:highlight w:val="none"/>
                <w:lang w:val="en-US" w:eastAsia="zh-CN"/>
              </w:rPr>
              <w:t>Option 1:</w:t>
            </w:r>
          </w:p>
          <w:p>
            <w:pPr>
              <w:pStyle w:val="28"/>
              <w:numPr>
                <w:ilvl w:val="0"/>
                <w:numId w:val="0"/>
              </w:numPr>
              <w:rPr>
                <w:rFonts w:hint="eastAsia" w:eastAsia="Yu Mincho"/>
                <w:bCs/>
                <w:color w:val="C55A11" w:themeColor="accent2" w:themeShade="BF"/>
                <w:highlight w:val="none"/>
                <w:lang w:val="en-US" w:eastAsia="zh-CN"/>
              </w:rPr>
            </w:pPr>
            <w:r>
              <w:drawing>
                <wp:inline distT="0" distB="0" distL="114300" distR="114300">
                  <wp:extent cx="4570730" cy="7226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70730" cy="722630"/>
                          </a:xfrm>
                          <a:prstGeom prst="rect">
                            <a:avLst/>
                          </a:prstGeom>
                          <a:noFill/>
                          <a:ln>
                            <a:noFill/>
                          </a:ln>
                        </pic:spPr>
                      </pic:pic>
                    </a:graphicData>
                  </a:graphic>
                </wp:inline>
              </w:drawing>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From the discussion summary from the last meeting, the discussion was postponed to this meeting simply because the general setting was not settled and some companies preferred to wait till the general configurations were specified.</w:t>
      </w:r>
    </w:p>
    <w:p>
      <w:pPr>
        <w:rPr>
          <w:rFonts w:hint="default" w:eastAsia="宋体"/>
          <w:sz w:val="22"/>
          <w:szCs w:val="22"/>
          <w:lang w:val="en-US" w:eastAsia="zh-CN"/>
        </w:rPr>
      </w:pPr>
      <w:r>
        <w:rPr>
          <w:rFonts w:hint="eastAsia" w:eastAsia="宋体"/>
          <w:sz w:val="22"/>
          <w:szCs w:val="22"/>
          <w:lang w:val="en-US" w:eastAsia="zh-CN"/>
        </w:rPr>
        <w:t>In our view, for the first bullet point, periodic SRS shall be configured in the SpCell to enable the UE to detect consistent UL LBT failure in the SpCell. Since consistent UL LBT failure is to be triggered, it is clear that a periodic SRS shall be configured. This shall be straightforward and shouldn</w:t>
      </w:r>
      <w:r>
        <w:rPr>
          <w:rFonts w:hint="default" w:eastAsia="宋体"/>
          <w:sz w:val="22"/>
          <w:szCs w:val="22"/>
          <w:lang w:val="en-US" w:eastAsia="zh-CN"/>
        </w:rPr>
        <w:t>’</w:t>
      </w:r>
      <w:r>
        <w:rPr>
          <w:rFonts w:hint="eastAsia" w:eastAsia="宋体"/>
          <w:sz w:val="22"/>
          <w:szCs w:val="22"/>
          <w:lang w:val="en-US" w:eastAsia="zh-CN"/>
        </w:rPr>
        <w:t>t be controversial.</w:t>
      </w:r>
    </w:p>
    <w:p>
      <w:pPr>
        <w:pStyle w:val="38"/>
        <w:rPr>
          <w:rFonts w:hint="default" w:eastAsia="宋体"/>
          <w:sz w:val="22"/>
          <w:szCs w:val="22"/>
          <w:lang w:val="en-US" w:eastAsia="zh-CN"/>
        </w:rPr>
      </w:pPr>
      <w:r>
        <w:rPr>
          <w:rFonts w:hint="eastAsia" w:eastAsia="宋体"/>
          <w:sz w:val="22"/>
          <w:szCs w:val="22"/>
          <w:lang w:val="en-US" w:eastAsia="zh-CN"/>
        </w:rPr>
        <w:t>Periodic SRS shall be configured in the SpCell to enable the UE to detect consistent UL LBT failure in the SpCell.</w:t>
      </w:r>
    </w:p>
    <w:p>
      <w:pPr>
        <w:rPr>
          <w:rFonts w:hint="default" w:eastAsia="宋体"/>
          <w:sz w:val="22"/>
          <w:szCs w:val="22"/>
          <w:lang w:val="en-US" w:eastAsia="zh-CN"/>
        </w:rPr>
      </w:pPr>
      <w:r>
        <w:rPr>
          <w:rFonts w:hint="eastAsia" w:eastAsia="宋体"/>
          <w:sz w:val="22"/>
          <w:szCs w:val="22"/>
          <w:lang w:val="en-US" w:eastAsia="zh-CN"/>
        </w:rPr>
        <w:t>As to the configuration used for the test, since only consistent UL LBT failure is mentioned in the spec [2] (see below), only UL CCA probability shall be set to 0, DL CCA probabilities can remain 1 during the tests.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4"/>
              <w:rPr>
                <w:lang w:val="en-US" w:eastAsia="zh-CN"/>
              </w:rPr>
            </w:pPr>
            <w:r>
              <w:rPr>
                <w:lang w:val="en-US" w:eastAsia="zh-CN"/>
              </w:rPr>
              <w:t>8.6.4</w:t>
            </w:r>
            <w:r>
              <w:rPr>
                <w:lang w:val="en-US" w:eastAsia="zh-CN"/>
              </w:rPr>
              <w:tab/>
            </w:r>
            <w:r>
              <w:rPr>
                <w:lang w:val="en-US" w:eastAsia="zh-CN"/>
              </w:rPr>
              <w:t>BWP switch delay on Consistent UL LBT recovery</w:t>
            </w:r>
          </w:p>
          <w:p>
            <w:pPr>
              <w:rPr>
                <w:lang w:val="en-US" w:eastAsia="zh-CN"/>
              </w:rPr>
            </w:pPr>
            <w:r>
              <w:rPr>
                <w:iCs/>
                <w:lang w:eastAsia="ko-KR"/>
              </w:rPr>
              <w:t>Upon detection of consistent UL LBT failure is slot#n in SpCell</w:t>
            </w:r>
            <w:r>
              <w:t xml:space="preserve"> </w:t>
            </w:r>
            <w:r>
              <w:rPr>
                <w:iCs/>
                <w:lang w:eastAsia="ko-KR"/>
              </w:rPr>
              <w:t xml:space="preserve">when UE detects </w:t>
            </w:r>
            <w:r>
              <w:rPr>
                <w:i/>
                <w:lang w:eastAsia="ko-KR"/>
              </w:rPr>
              <w:t xml:space="preserve">lbt-FailureInstanceMaxCount </w:t>
            </w:r>
            <w:r>
              <w:rPr>
                <w:iCs/>
                <w:lang w:eastAsia="ko-KR"/>
              </w:rPr>
              <w:t>number of</w:t>
            </w:r>
            <w:r>
              <w:rPr>
                <w:i/>
                <w:lang w:eastAsia="ko-KR"/>
              </w:rPr>
              <w:t xml:space="preserve"> </w:t>
            </w:r>
            <w:r>
              <w:rPr>
                <w:iCs/>
                <w:lang w:eastAsia="ko-KR"/>
              </w:rPr>
              <w:t xml:space="preserve">LBT failure within </w:t>
            </w:r>
            <w:r>
              <w:rPr>
                <w:i/>
                <w:lang w:eastAsia="ko-KR"/>
              </w:rPr>
              <w:t>lbt-FailureDetectionTimer</w:t>
            </w:r>
            <w:r>
              <w:rPr>
                <w:lang w:eastAsia="ko-KR"/>
              </w:rPr>
              <w:t xml:space="preserve">, the UE shall switch the active UL BWP to an UL BWP configured with PRACH occasion and for which consistent LBT failure has not been triggered as defined in TS 38.321 clause 5.21 [7]. The UE shall </w:t>
            </w:r>
            <w:r>
              <w:t xml:space="preserve">be ready to transmit PRACH on the new UL BWP of the SpCell on the first UL slot </w:t>
            </w:r>
            <w:r>
              <w:rPr>
                <w:lang w:val="en-US" w:eastAsia="zh-CN"/>
              </w:rPr>
              <w:t>occurs</w:t>
            </w:r>
            <w:r>
              <w:t xml:space="preserve"> right after slot n+</w:t>
            </w:r>
            <w:r>
              <w:rPr>
                <w:lang w:eastAsia="zh-CN"/>
              </w:rPr>
              <w:t>T</w:t>
            </w:r>
            <w:r>
              <w:rPr>
                <w:vertAlign w:val="subscript"/>
                <w:lang w:eastAsia="zh-CN"/>
              </w:rPr>
              <w:t>BWPswitchDelay</w:t>
            </w:r>
            <w:r>
              <w:t xml:space="preserve"> +1, where </w:t>
            </w:r>
            <w:r>
              <w:rPr>
                <w:lang w:eastAsia="zh-CN"/>
              </w:rPr>
              <w:t>T</w:t>
            </w:r>
            <w:r>
              <w:rPr>
                <w:vertAlign w:val="subscript"/>
                <w:lang w:eastAsia="zh-CN"/>
              </w:rPr>
              <w:t xml:space="preserve">BWPswitchDelay </w:t>
            </w:r>
            <w:r>
              <w:rPr>
                <w:lang w:eastAsia="zh-CN"/>
              </w:rPr>
              <w:t xml:space="preserve">is defined in </w:t>
            </w:r>
            <w:r>
              <w:t>Table 8.6.2-1. T</w:t>
            </w:r>
            <w:r>
              <w:rPr>
                <w:lang w:val="en-US" w:eastAsia="zh-CN"/>
              </w:rPr>
              <w:t xml:space="preserve">he UE shall finish the UL BWP switch within the time duration </w:t>
            </w:r>
            <w:r>
              <w:rPr>
                <w:lang w:eastAsia="zh-CN"/>
              </w:rPr>
              <w:t>T</w:t>
            </w:r>
            <w:r>
              <w:rPr>
                <w:vertAlign w:val="subscript"/>
                <w:lang w:eastAsia="zh-CN"/>
              </w:rPr>
              <w:t>BWPswitchDelay</w:t>
            </w:r>
            <w:r>
              <w:rPr>
                <w:lang w:eastAsia="zh-CN"/>
              </w:rPr>
              <w:t xml:space="preserve"> depending on </w:t>
            </w:r>
            <w:r>
              <w:rPr>
                <w:lang w:val="en-US" w:eastAsia="zh-CN"/>
              </w:rPr>
              <w:t>UE capability</w:t>
            </w:r>
            <w:r>
              <w:rPr>
                <w:lang w:val="en-US"/>
              </w:rPr>
              <w:t xml:space="preserve"> </w:t>
            </w:r>
            <w:r>
              <w:rPr>
                <w:i/>
              </w:rPr>
              <w:t>bwp-SwitchingDelay</w:t>
            </w:r>
            <w:r>
              <w:rPr>
                <w:lang w:val="en-US" w:eastAsia="zh-CN"/>
              </w:rPr>
              <w:t xml:space="preserve"> [2].</w:t>
            </w:r>
          </w:p>
          <w:p>
            <w:pPr>
              <w:pStyle w:val="66"/>
              <w:rPr>
                <w:lang w:eastAsia="zh-CN"/>
              </w:rPr>
            </w:pPr>
            <w:r>
              <w:rPr>
                <w:lang w:eastAsia="zh-CN"/>
              </w:rPr>
              <w:t>Note:</w:t>
            </w:r>
            <w:r>
              <w:rPr>
                <w:lang w:eastAsia="zh-CN"/>
              </w:rPr>
              <w:tab/>
            </w:r>
            <w:r>
              <w:rPr>
                <w:lang w:eastAsia="zh-CN"/>
              </w:rPr>
              <w:t>Additional delay in acquiring the first available RACH occasion will be derived in a way similar to that in handover in clause 6.1B.1.</w:t>
            </w:r>
          </w:p>
          <w:p>
            <w:pPr>
              <w:rPr>
                <w:rFonts w:hint="default" w:eastAsia="宋体"/>
                <w:sz w:val="22"/>
                <w:szCs w:val="22"/>
                <w:vertAlign w:val="baseline"/>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on the SpCell in the UL BWP switch. </w:t>
            </w:r>
            <w:r>
              <w:t>The UE is not required to follow the requirements defined in this clause when performing a UL BWP switch between the UL BWPs in disjoint channel bandwidths or in partially overlapping channel bandwidths.</w:t>
            </w:r>
          </w:p>
        </w:tc>
      </w:tr>
    </w:tbl>
    <w:p>
      <w:pPr>
        <w:rPr>
          <w:rFonts w:hint="default" w:eastAsia="宋体"/>
          <w:sz w:val="22"/>
          <w:szCs w:val="22"/>
          <w:lang w:val="en-US" w:eastAsia="zh-CN"/>
        </w:rPr>
      </w:pPr>
    </w:p>
    <w:p>
      <w:pPr>
        <w:pStyle w:val="38"/>
        <w:rPr>
          <w:rFonts w:hint="default"/>
          <w:sz w:val="22"/>
          <w:szCs w:val="22"/>
          <w:lang w:val="en-US" w:eastAsia="zh-CN"/>
        </w:rPr>
      </w:pPr>
      <w:r>
        <w:rPr>
          <w:rFonts w:hint="eastAsia"/>
          <w:sz w:val="22"/>
          <w:szCs w:val="22"/>
          <w:lang w:val="en-US" w:eastAsia="zh-CN"/>
        </w:rPr>
        <w:t>Endorse the configurations in the WF [1]:</w:t>
      </w:r>
    </w:p>
    <w:tbl>
      <w:tblPr>
        <w:tblStyle w:val="20"/>
        <w:tblW w:w="7507" w:type="dxa"/>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2"/>
        <w:gridCol w:w="2409"/>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2" w:type="dxa"/>
            <w:tcBorders>
              <w:top w:val="single" w:color="auto" w:sz="4" w:space="0"/>
              <w:left w:val="single" w:color="auto" w:sz="4" w:space="0"/>
              <w:bottom w:val="single" w:color="auto" w:sz="4" w:space="0"/>
              <w:right w:val="single" w:color="auto" w:sz="4" w:space="0"/>
            </w:tcBorders>
          </w:tcPr>
          <w:p>
            <w:pPr>
              <w:pStyle w:val="74"/>
              <w:rPr>
                <w:sz w:val="20"/>
              </w:rPr>
            </w:pPr>
            <w:r>
              <w:rPr>
                <w:sz w:val="20"/>
              </w:rPr>
              <w:t xml:space="preserve">Active BWP in SpCell </w:t>
            </w:r>
          </w:p>
        </w:tc>
        <w:tc>
          <w:tcPr>
            <w:tcW w:w="2409"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1696"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pPr>
            <w:r>
              <w:rPr>
                <w:lang w:eastAsia="zh-CN"/>
              </w:rPr>
              <w:t>UL active BWP before active BWP switching (UL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0</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UL active BWP after active BWP switching (UL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before active BWP switching (DL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after active BWP switching (DL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bl>
    <w:p>
      <w:pPr>
        <w:rPr>
          <w:rFonts w:hint="default"/>
          <w:lang w:val="en-US" w:eastAsia="zh-CN"/>
        </w:rPr>
      </w:pPr>
    </w:p>
    <w:p>
      <w:pPr>
        <w:pStyle w:val="30"/>
        <w:jc w:val="both"/>
      </w:pPr>
      <w:r>
        <w:rPr>
          <w:rFonts w:hint="eastAsia"/>
          <w:lang w:val="en-US" w:eastAsia="zh-CN"/>
        </w:rPr>
        <w:t>3</w:t>
      </w:r>
      <w:r>
        <w:tab/>
      </w:r>
      <w:r>
        <w:t>Conclusion</w:t>
      </w:r>
    </w:p>
    <w:p>
      <w:pPr>
        <w:pStyle w:val="38"/>
        <w:numPr>
          <w:ilvl w:val="0"/>
          <w:numId w:val="0"/>
        </w:numPr>
        <w:ind w:leftChars="0"/>
        <w:rPr>
          <w:rFonts w:hint="eastAsia" w:eastAsia="宋体"/>
          <w:sz w:val="22"/>
          <w:szCs w:val="22"/>
          <w:lang w:val="en-US" w:eastAsia="zh-CN"/>
        </w:rPr>
      </w:pPr>
      <w:r>
        <w:rPr>
          <w:rFonts w:hint="eastAsia"/>
          <w:b/>
          <w:bCs/>
          <w:sz w:val="22"/>
          <w:szCs w:val="22"/>
          <w:lang w:val="en-US" w:eastAsia="zh-CN"/>
        </w:rPr>
        <w:t xml:space="preserve">Proposal 1: </w:t>
      </w:r>
      <w:r>
        <w:rPr>
          <w:rFonts w:hint="eastAsia" w:eastAsia="宋体"/>
          <w:sz w:val="22"/>
          <w:szCs w:val="22"/>
          <w:lang w:val="en-US" w:eastAsia="zh-CN"/>
        </w:rPr>
        <w:t>Periodic SRS shall be configured in the SpCell to enable the UE to detect consistent UL LBT failure in the SpCell.</w:t>
      </w:r>
    </w:p>
    <w:p>
      <w:pPr>
        <w:pStyle w:val="38"/>
        <w:numPr>
          <w:ilvl w:val="0"/>
          <w:numId w:val="0"/>
        </w:numPr>
        <w:ind w:leftChars="0"/>
        <w:rPr>
          <w:rFonts w:hint="default"/>
          <w:sz w:val="22"/>
          <w:szCs w:val="22"/>
          <w:lang w:val="en-US" w:eastAsia="zh-CN"/>
        </w:rPr>
      </w:pPr>
      <w:r>
        <w:rPr>
          <w:rFonts w:hint="eastAsia"/>
          <w:b/>
          <w:bCs/>
          <w:sz w:val="22"/>
          <w:szCs w:val="22"/>
          <w:lang w:val="en-US" w:eastAsia="zh-CN"/>
        </w:rPr>
        <w:t xml:space="preserve">Proposal 2: </w:t>
      </w:r>
      <w:r>
        <w:rPr>
          <w:rFonts w:hint="eastAsia"/>
          <w:sz w:val="22"/>
          <w:szCs w:val="22"/>
          <w:lang w:val="en-US" w:eastAsia="zh-CN"/>
        </w:rPr>
        <w:t>Endorse the configurations in the WF [1]:</w:t>
      </w:r>
    </w:p>
    <w:tbl>
      <w:tblPr>
        <w:tblStyle w:val="20"/>
        <w:tblW w:w="7507" w:type="dxa"/>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2"/>
        <w:gridCol w:w="2409"/>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74"/>
              <w:rPr>
                <w:sz w:val="20"/>
              </w:rPr>
            </w:pPr>
            <w:r>
              <w:rPr>
                <w:sz w:val="20"/>
              </w:rPr>
              <w:t xml:space="preserve">Active BWP in SpCell </w:t>
            </w:r>
          </w:p>
        </w:tc>
        <w:tc>
          <w:tcPr>
            <w:tcW w:w="2409"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1696"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pPr>
            <w:r>
              <w:rPr>
                <w:lang w:eastAsia="zh-CN"/>
              </w:rPr>
              <w:t>UL active BWP before active BWP switching (UL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0</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UL active BWP after active BWP switching (UL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before active BWP switching (DL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after active BWP switching (DL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bl>
    <w:p>
      <w:pPr>
        <w:rPr>
          <w:rFonts w:hint="eastAsia"/>
          <w:lang w:val="en-US" w:eastAsia="zh-CN"/>
        </w:rPr>
      </w:pP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R4-2103520</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CD05428"/>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BE008B2"/>
    <w:rsid w:val="1C5E2F54"/>
    <w:rsid w:val="1CA0799D"/>
    <w:rsid w:val="1CDA242C"/>
    <w:rsid w:val="1CFB2AC1"/>
    <w:rsid w:val="1D1F1294"/>
    <w:rsid w:val="1D4472B4"/>
    <w:rsid w:val="1D85535E"/>
    <w:rsid w:val="1DB22946"/>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451A4F"/>
    <w:rsid w:val="27572E0B"/>
    <w:rsid w:val="2762235C"/>
    <w:rsid w:val="276537E8"/>
    <w:rsid w:val="27B4440A"/>
    <w:rsid w:val="280C272A"/>
    <w:rsid w:val="28176D87"/>
    <w:rsid w:val="281B6C69"/>
    <w:rsid w:val="284E33F7"/>
    <w:rsid w:val="28686999"/>
    <w:rsid w:val="287A3770"/>
    <w:rsid w:val="28A011E1"/>
    <w:rsid w:val="28C759BF"/>
    <w:rsid w:val="290A138C"/>
    <w:rsid w:val="293606FA"/>
    <w:rsid w:val="29517179"/>
    <w:rsid w:val="29E7086A"/>
    <w:rsid w:val="2A1219AD"/>
    <w:rsid w:val="2A1B67DE"/>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AF94805"/>
    <w:rsid w:val="3B0B15C3"/>
    <w:rsid w:val="3B30671A"/>
    <w:rsid w:val="3B5662AC"/>
    <w:rsid w:val="3B981241"/>
    <w:rsid w:val="3BB906EA"/>
    <w:rsid w:val="3BBB2E68"/>
    <w:rsid w:val="3C2F6338"/>
    <w:rsid w:val="3C5B2EB3"/>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AA68BB"/>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7B21BC"/>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C153C5"/>
    <w:rsid w:val="5DE46FC7"/>
    <w:rsid w:val="5E051414"/>
    <w:rsid w:val="5E206741"/>
    <w:rsid w:val="5E2D4C21"/>
    <w:rsid w:val="5E820037"/>
    <w:rsid w:val="5EB31FE8"/>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 w:type="paragraph" w:customStyle="1" w:styleId="74">
    <w:name w:val="TAH"/>
    <w:basedOn w:val="75"/>
    <w:qFormat/>
    <w:uiPriority w:val="0"/>
    <w:rPr>
      <w:b/>
    </w:rPr>
  </w:style>
  <w:style w:type="paragraph" w:customStyle="1" w:styleId="75">
    <w:name w:val="TAC"/>
    <w:basedOn w:val="50"/>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2021-03-31T13:52:50Z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